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600" w:line="312"/>
        <w:ind w:right="0" w:left="0" w:firstLine="0"/>
        <w:jc w:val="left"/>
        <w:rPr>
          <w:rFonts w:ascii="Verdana" w:hAnsi="Verdana" w:cs="Verdana" w:eastAsia="Verdana"/>
          <w:b/>
          <w:color w:val="E30137"/>
          <w:spacing w:val="0"/>
          <w:position w:val="0"/>
          <w:sz w:val="48"/>
          <w:shd w:fill="auto" w:val="clear"/>
        </w:rPr>
      </w:pPr>
      <w:r>
        <w:rPr>
          <w:rFonts w:ascii="Verdana" w:hAnsi="Verdana" w:cs="Verdana" w:eastAsia="Verdana"/>
          <w:b/>
          <w:color w:val="E30137"/>
          <w:spacing w:val="0"/>
          <w:position w:val="0"/>
          <w:sz w:val="48"/>
          <w:shd w:fill="auto" w:val="clear"/>
        </w:rPr>
        <w:t xml:space="preserve">INEOS GOLF CLUB</w:t>
      </w:r>
    </w:p>
    <w:p>
      <w:pPr>
        <w:spacing w:before="120" w:after="600" w:line="312"/>
        <w:ind w:right="0" w:left="0" w:firstLine="0"/>
        <w:jc w:val="left"/>
        <w:rPr>
          <w:rFonts w:ascii="Verdana" w:hAnsi="Verdana" w:cs="Verdana" w:eastAsia="Verdana"/>
          <w:b/>
          <w:color w:val="E30137"/>
          <w:spacing w:val="0"/>
          <w:position w:val="0"/>
          <w:sz w:val="48"/>
          <w:shd w:fill="auto" w:val="clear"/>
        </w:rPr>
      </w:pPr>
      <w:r>
        <w:rPr>
          <w:rFonts w:ascii="Verdana" w:hAnsi="Verdana" w:cs="Verdana" w:eastAsia="Verdana"/>
          <w:b/>
          <w:color w:val="E30137"/>
          <w:spacing w:val="0"/>
          <w:position w:val="0"/>
          <w:sz w:val="48"/>
          <w:shd w:fill="auto" w:val="clear"/>
        </w:rPr>
        <w:t xml:space="preserve">Safeguarding Adults Policy</w:t>
      </w:r>
    </w:p>
    <w:p>
      <w:pPr>
        <w:spacing w:before="120" w:after="600" w:line="312"/>
        <w:ind w:right="0" w:left="0" w:firstLine="0"/>
        <w:jc w:val="left"/>
        <w:rPr>
          <w:rFonts w:ascii="Verdana" w:hAnsi="Verdana" w:cs="Verdana" w:eastAsia="Verdana"/>
          <w:color w:val="auto"/>
          <w:spacing w:val="0"/>
          <w:position w:val="0"/>
          <w:sz w:val="40"/>
          <w:shd w:fill="auto" w:val="clear"/>
        </w:rPr>
      </w:pPr>
      <w:r>
        <w:rPr>
          <w:rFonts w:ascii="Verdana" w:hAnsi="Verdana" w:cs="Verdana" w:eastAsia="Verdana"/>
          <w:color w:val="auto"/>
          <w:spacing w:val="0"/>
          <w:position w:val="0"/>
          <w:sz w:val="40"/>
          <w:shd w:fill="auto" w:val="clear"/>
        </w:rPr>
        <w:t xml:space="preserve">Contents</w:t>
      </w:r>
    </w:p>
    <w:tbl>
      <w:tblPr/>
      <w:tblGrid>
        <w:gridCol w:w="7650"/>
        <w:gridCol w:w="1554"/>
      </w:tblGrid>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Safeguarding Policy Statement</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2</w:t>
            </w:r>
          </w:p>
        </w:tc>
      </w:tr>
      <w:tr>
        <w:trPr>
          <w:trHeight w:val="20" w:hRule="auto"/>
          <w:jc w:val="left"/>
        </w:trPr>
        <w:tc>
          <w:tcPr>
            <w:tcW w:w="9204" w:type="dxa"/>
            <w:gridSpan w:val="2"/>
            <w:tcBorders>
              <w:top w:val="single" w:color="fe8ea8" w:sz="4"/>
              <w:left w:val="single" w:color="fe8ea8" w:sz="4"/>
              <w:bottom w:val="single" w:color="fe8ea8" w:sz="4"/>
              <w:right w:val="single" w:color="fe8ea8" w:sz="4"/>
            </w:tcBorders>
            <w:shd w:color="auto" w:fill="e30137"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shd w:fill="auto" w:val="clear"/>
              </w:rPr>
              <w:t xml:space="preserve">Procedures:</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numPr>
                <w:ilvl w:val="0"/>
                <w:numId w:val="9"/>
              </w:numPr>
              <w:spacing w:before="0" w:after="0" w:line="312"/>
              <w:ind w:right="0" w:left="36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Complaints, concerns and allegations</w:t>
              <w:tab/>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4</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numPr>
                <w:ilvl w:val="0"/>
                <w:numId w:val="12"/>
              </w:numPr>
              <w:spacing w:before="0" w:after="0" w:line="312"/>
              <w:ind w:right="0" w:left="360" w:hanging="360"/>
              <w:jc w:val="left"/>
              <w:rPr>
                <w:color w:val="auto"/>
                <w:spacing w:val="0"/>
                <w:position w:val="0"/>
                <w:sz w:val="22"/>
              </w:rPr>
            </w:pPr>
            <w:r>
              <w:rPr>
                <w:rFonts w:ascii="Verdana" w:hAnsi="Verdana" w:cs="Verdana" w:eastAsia="Verdana"/>
                <w:color w:val="auto"/>
                <w:spacing w:val="0"/>
                <w:position w:val="0"/>
                <w:sz w:val="22"/>
                <w:shd w:fill="auto" w:val="clear"/>
              </w:rPr>
              <w:t xml:space="preserve">Responding to a Disclosure of Abuse</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5</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numPr>
                <w:ilvl w:val="0"/>
                <w:numId w:val="15"/>
              </w:numPr>
              <w:spacing w:before="0" w:after="0" w:line="312"/>
              <w:ind w:right="0" w:left="360" w:hanging="360"/>
              <w:jc w:val="left"/>
              <w:rPr>
                <w:color w:val="auto"/>
                <w:spacing w:val="0"/>
                <w:position w:val="0"/>
                <w:sz w:val="22"/>
              </w:rPr>
            </w:pPr>
            <w:r>
              <w:rPr>
                <w:rFonts w:ascii="Verdana" w:hAnsi="Verdana" w:cs="Verdana" w:eastAsia="Verdana"/>
                <w:color w:val="auto"/>
                <w:spacing w:val="0"/>
                <w:position w:val="0"/>
                <w:sz w:val="22"/>
                <w:shd w:fill="auto" w:val="clear"/>
              </w:rPr>
              <w:t xml:space="preserve">Signs and Indicators of Abuse and Neglect</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6</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numPr>
                <w:ilvl w:val="0"/>
                <w:numId w:val="18"/>
              </w:numPr>
              <w:spacing w:before="0" w:after="0" w:line="312"/>
              <w:ind w:right="0" w:left="36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Consent</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7</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numPr>
                <w:ilvl w:val="0"/>
                <w:numId w:val="21"/>
              </w:numPr>
              <w:spacing w:before="0" w:after="0" w:line="312"/>
              <w:ind w:right="0" w:left="360" w:hanging="360"/>
              <w:jc w:val="left"/>
              <w:rPr>
                <w:color w:val="auto"/>
                <w:spacing w:val="0"/>
                <w:position w:val="0"/>
                <w:sz w:val="22"/>
              </w:rPr>
            </w:pPr>
            <w:r>
              <w:rPr>
                <w:rFonts w:ascii="Verdana" w:hAnsi="Verdana" w:cs="Verdana" w:eastAsia="Verdana"/>
                <w:color w:val="auto"/>
                <w:spacing w:val="0"/>
                <w:position w:val="0"/>
                <w:sz w:val="22"/>
                <w:shd w:fill="auto" w:val="clear"/>
              </w:rPr>
              <w:t xml:space="preserve">Useful Contacts</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9</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auto" w:fill="e30137" w:val="clear"/>
            <w:tcMar>
              <w:left w:w="108" w:type="dxa"/>
              <w:right w:w="108" w:type="dxa"/>
            </w:tcMar>
            <w:vAlign w:val="top"/>
          </w:tcPr>
          <w:p>
            <w:pPr>
              <w:spacing w:before="0" w:after="0" w:line="312"/>
              <w:ind w:right="0" w:left="284" w:hanging="284"/>
              <w:jc w:val="left"/>
              <w:rPr>
                <w:spacing w:val="0"/>
                <w:position w:val="0"/>
                <w:sz w:val="22"/>
              </w:rPr>
            </w:pPr>
            <w:r>
              <w:rPr>
                <w:rFonts w:ascii="Verdana" w:hAnsi="Verdana" w:cs="Verdana" w:eastAsia="Verdana"/>
                <w:color w:val="FFFFFF"/>
                <w:spacing w:val="0"/>
                <w:position w:val="0"/>
                <w:sz w:val="22"/>
                <w:shd w:fill="auto" w:val="clear"/>
              </w:rPr>
              <w:t xml:space="preserve">Supporting Documents </w:t>
            </w:r>
          </w:p>
        </w:tc>
        <w:tc>
          <w:tcPr>
            <w:tcW w:w="1554" w:type="dxa"/>
            <w:tcBorders>
              <w:top w:val="single" w:color="fe8ea8" w:sz="4"/>
              <w:left w:val="single" w:color="fe8ea8" w:sz="4"/>
              <w:bottom w:val="single" w:color="fe8ea8" w:sz="4"/>
              <w:right w:val="single" w:color="fe8ea8" w:sz="4"/>
            </w:tcBorders>
            <w:shd w:color="auto" w:fill="e30137" w:val="clear"/>
            <w:tcMar>
              <w:left w:w="108" w:type="dxa"/>
              <w:right w:w="108" w:type="dxa"/>
            </w:tcMar>
            <w:vAlign w:val="top"/>
          </w:tcPr>
          <w:p>
            <w:pPr>
              <w:spacing w:before="0" w:after="0" w:line="312"/>
              <w:ind w:right="0" w:left="0" w:firstLine="0"/>
              <w:jc w:val="left"/>
              <w:rPr>
                <w:rFonts w:ascii="Calibri" w:hAnsi="Calibri" w:cs="Calibri" w:eastAsia="Calibri"/>
                <w:color w:val="auto"/>
                <w:spacing w:val="0"/>
                <w:position w:val="0"/>
                <w:sz w:val="22"/>
                <w:shd w:fill="auto" w:val="clear"/>
              </w:rPr>
            </w:pP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284" w:hanging="284"/>
              <w:jc w:val="left"/>
              <w:rPr>
                <w:color w:val="auto"/>
                <w:spacing w:val="0"/>
                <w:position w:val="0"/>
                <w:sz w:val="22"/>
              </w:rPr>
            </w:pPr>
            <w:r>
              <w:rPr>
                <w:rFonts w:ascii="Verdana" w:hAnsi="Verdana" w:cs="Verdana" w:eastAsia="Verdana"/>
                <w:color w:val="auto"/>
                <w:spacing w:val="0"/>
                <w:position w:val="0"/>
                <w:sz w:val="22"/>
                <w:shd w:fill="auto" w:val="clear"/>
              </w:rPr>
              <w:t xml:space="preserve">Safeguarding Adults Flowchart</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10</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284" w:hanging="284"/>
              <w:jc w:val="left"/>
              <w:rPr>
                <w:color w:val="auto"/>
                <w:spacing w:val="0"/>
                <w:position w:val="0"/>
                <w:sz w:val="22"/>
              </w:rPr>
            </w:pPr>
            <w:r>
              <w:rPr>
                <w:rFonts w:ascii="Verdana" w:hAnsi="Verdana" w:cs="Verdana" w:eastAsia="Verdana"/>
                <w:color w:val="auto"/>
                <w:spacing w:val="0"/>
                <w:position w:val="0"/>
                <w:sz w:val="22"/>
                <w:shd w:fill="auto" w:val="clear"/>
              </w:rPr>
              <w:t xml:space="preserve">Capacity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Guidance on Making Decisions</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11</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284" w:hanging="284"/>
              <w:jc w:val="left"/>
              <w:rPr>
                <w:color w:val="auto"/>
                <w:spacing w:val="0"/>
                <w:position w:val="0"/>
                <w:sz w:val="22"/>
              </w:rPr>
            </w:pPr>
            <w:r>
              <w:rPr>
                <w:rFonts w:ascii="Verdana" w:hAnsi="Verdana" w:cs="Verdana" w:eastAsia="Verdana"/>
                <w:color w:val="auto"/>
                <w:spacing w:val="0"/>
                <w:position w:val="0"/>
                <w:sz w:val="22"/>
                <w:shd w:fill="auto" w:val="clear"/>
              </w:rPr>
              <w:t xml:space="preserve">Incident Report Form</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13</w:t>
            </w:r>
          </w:p>
        </w:tc>
      </w:tr>
      <w:tr>
        <w:trPr>
          <w:trHeight w:val="20"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284" w:hanging="284"/>
              <w:jc w:val="left"/>
              <w:rPr>
                <w:color w:val="auto"/>
                <w:spacing w:val="0"/>
                <w:position w:val="0"/>
                <w:sz w:val="22"/>
              </w:rPr>
            </w:pPr>
            <w:r>
              <w:rPr>
                <w:rFonts w:ascii="Verdana" w:hAnsi="Verdana" w:cs="Verdana" w:eastAsia="Verdana"/>
                <w:color w:val="auto"/>
                <w:spacing w:val="0"/>
                <w:position w:val="0"/>
                <w:sz w:val="22"/>
                <w:shd w:fill="auto" w:val="clear"/>
              </w:rPr>
              <w:t xml:space="preserve">Guidance on Types of Harm</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15</w:t>
            </w:r>
          </w:p>
        </w:tc>
      </w:tr>
      <w:tr>
        <w:trPr>
          <w:trHeight w:val="109" w:hRule="auto"/>
          <w:jc w:val="left"/>
        </w:trPr>
        <w:tc>
          <w:tcPr>
            <w:tcW w:w="7650"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284" w:hanging="284"/>
              <w:jc w:val="left"/>
              <w:rPr>
                <w:color w:val="auto"/>
                <w:spacing w:val="0"/>
                <w:position w:val="0"/>
                <w:sz w:val="22"/>
              </w:rPr>
            </w:pPr>
            <w:r>
              <w:rPr>
                <w:rFonts w:ascii="Verdana" w:hAnsi="Verdana" w:cs="Verdana" w:eastAsia="Verdana"/>
                <w:color w:val="auto"/>
                <w:spacing w:val="0"/>
                <w:position w:val="0"/>
                <w:sz w:val="22"/>
                <w:shd w:fill="auto" w:val="clear"/>
              </w:rPr>
              <w:t xml:space="preserve">Guidance on Consent and Information Sharing</w:t>
            </w:r>
          </w:p>
        </w:tc>
        <w:tc>
          <w:tcPr>
            <w:tcW w:w="1554" w:type="dxa"/>
            <w:tcBorders>
              <w:top w:val="single" w:color="fe8ea8" w:sz="4"/>
              <w:left w:val="single" w:color="fe8ea8" w:sz="4"/>
              <w:bottom w:val="single" w:color="fe8ea8" w:sz="4"/>
              <w:right w:val="single" w:color="fe8ea8"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17</w:t>
            </w:r>
          </w:p>
        </w:tc>
      </w:tr>
    </w:tbl>
    <w:p>
      <w:pPr>
        <w:spacing w:before="120" w:after="600" w:line="312"/>
        <w:ind w:right="0" w:left="0" w:firstLine="0"/>
        <w:jc w:val="left"/>
        <w:rPr>
          <w:rFonts w:ascii="Verdana" w:hAnsi="Verdana" w:cs="Verdana" w:eastAsia="Verdana"/>
          <w:color w:val="auto"/>
          <w:spacing w:val="0"/>
          <w:position w:val="0"/>
          <w:sz w:val="40"/>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Safeguarding Adults Policy</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Introduction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is committed to creating and maintaining a safe and positive environment for all individuals involved in golf.</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Safeguarding duties apply to an adult who:</w:t>
      </w:r>
    </w:p>
    <w:p>
      <w:pPr>
        <w:numPr>
          <w:ilvl w:val="0"/>
          <w:numId w:val="5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Has needs for care and support (whether or not the local authority is meeting any of those needs) and;</w:t>
      </w:r>
    </w:p>
    <w:p>
      <w:pPr>
        <w:numPr>
          <w:ilvl w:val="0"/>
          <w:numId w:val="5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Is experiencing, or is at risk of, abuse or neglect; and;</w:t>
      </w:r>
    </w:p>
    <w:p>
      <w:pPr>
        <w:numPr>
          <w:ilvl w:val="0"/>
          <w:numId w:val="5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a result of those care and support needs is unable to protect themselves from either the risk of, or the experience of, abuse or neglect.</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Principles in relation to adults at risk </w:t>
      </w:r>
    </w:p>
    <w:p>
      <w:pPr>
        <w:spacing w:before="0" w:after="200" w:line="276"/>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The Care and Support Statutory Guidance Section 14.13 sets out the following six key principles which underpin all adult safeguarding work:</w:t>
      </w:r>
    </w:p>
    <w:p>
      <w:pPr>
        <w:numPr>
          <w:ilvl w:val="0"/>
          <w:numId w:val="5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Empowerment: People being supported and encouraged to make their own decisions and informed consent. </w:t>
      </w:r>
    </w:p>
    <w:p>
      <w:pPr>
        <w:numPr>
          <w:ilvl w:val="0"/>
          <w:numId w:val="5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Prevention: It is better to take action before harm occurs.</w:t>
      </w:r>
    </w:p>
    <w:p>
      <w:pPr>
        <w:numPr>
          <w:ilvl w:val="0"/>
          <w:numId w:val="5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Proportionality: The least intrusive response appropriate to the risk presented. </w:t>
      </w:r>
    </w:p>
    <w:p>
      <w:pPr>
        <w:numPr>
          <w:ilvl w:val="0"/>
          <w:numId w:val="5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Protection: Support and representation for those in greatest need.</w:t>
      </w:r>
    </w:p>
    <w:p>
      <w:pPr>
        <w:numPr>
          <w:ilvl w:val="0"/>
          <w:numId w:val="55"/>
        </w:numPr>
        <w:spacing w:before="0" w:after="200" w:line="276"/>
        <w:ind w:right="0" w:left="284" w:hanging="284"/>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Partnership:</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Local solutions through services working with their communities. Communities have a part to play in preventing, detecting and reporting neglect and abuse. </w:t>
      </w:r>
    </w:p>
    <w:p>
      <w:pPr>
        <w:numPr>
          <w:ilvl w:val="0"/>
          <w:numId w:val="5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Accountability:</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Accountability and transparency in delivering safeguarding.</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b/>
          <w:color w:val="auto"/>
          <w:spacing w:val="0"/>
          <w:position w:val="0"/>
          <w:sz w:val="22"/>
          <w:shd w:fill="FFFFFF" w:val="clear"/>
        </w:rPr>
        <w:t xml:space="preserve">Making safeguarding personal</w:t>
      </w:r>
      <w:r>
        <w:rPr>
          <w:rFonts w:ascii="Verdana" w:hAnsi="Verdana" w:cs="Verdana" w:eastAsia="Verdana"/>
          <w:color w:val="auto"/>
          <w:spacing w:val="0"/>
          <w:position w:val="0"/>
          <w:sz w:val="22"/>
          <w:shd w:fill="FFFFFF" w:val="clear"/>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pPr>
        <w:spacing w:before="0" w:after="200" w:line="276"/>
        <w:ind w:right="0" w:left="0" w:firstLine="0"/>
        <w:jc w:val="left"/>
        <w:rPr>
          <w:rFonts w:ascii="Verdana" w:hAnsi="Verdana" w:cs="Verdana" w:eastAsia="Verdana"/>
          <w:color w:val="auto"/>
          <w:spacing w:val="0"/>
          <w:position w:val="0"/>
          <w:sz w:val="22"/>
          <w:shd w:fill="FFFFFF" w:val="clear"/>
        </w:rPr>
      </w:pPr>
    </w:p>
    <w:p>
      <w:pPr>
        <w:spacing w:before="0" w:after="200" w:line="276"/>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Wherever possible discuss safeguarding concerns with the adult to get their view of what they would like to happen and keep them involved in the safeguarding process, seeking their consent to share information outside of the organisation where necessary.</w:t>
      </w:r>
    </w:p>
    <w:p>
      <w:pPr>
        <w:spacing w:before="0" w:after="200" w:line="276"/>
        <w:ind w:right="0" w:left="0" w:firstLine="0"/>
        <w:jc w:val="left"/>
        <w:rPr>
          <w:rFonts w:ascii="Verdana" w:hAnsi="Verdana" w:cs="Verdana" w:eastAsia="Verdana"/>
          <w:color w:val="auto"/>
          <w:spacing w:val="0"/>
          <w:position w:val="0"/>
          <w:sz w:val="22"/>
          <w:shd w:fill="FFFFFF" w:val="clear"/>
        </w:rPr>
      </w:pPr>
    </w:p>
    <w:p>
      <w:pPr>
        <w:spacing w:before="0" w:after="200" w:line="276"/>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The principles of the Mental Capacity Act 2005 (MCA) state that every individual has the right to make their own decisions and provides the framework for this to happen. </w:t>
      </w:r>
    </w:p>
    <w:p>
      <w:pPr>
        <w:spacing w:before="0" w:after="200" w:line="276"/>
        <w:ind w:right="0" w:left="0" w:firstLine="0"/>
        <w:jc w:val="left"/>
        <w:rPr>
          <w:rFonts w:ascii="Verdana" w:hAnsi="Verdana" w:cs="Verdana" w:eastAsia="Verdana"/>
          <w:color w:val="auto"/>
          <w:spacing w:val="0"/>
          <w:position w:val="0"/>
          <w:sz w:val="22"/>
          <w:shd w:fill="FFFFFF" w:val="clear"/>
        </w:rPr>
      </w:pPr>
    </w:p>
    <w:p>
      <w:pPr>
        <w:spacing w:before="0" w:after="200" w:line="276"/>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In addition Ineos G C recognises the following principles which underpin our work with all groups and individuals who may have additional needs for support and protection:</w:t>
      </w:r>
    </w:p>
    <w:p>
      <w:pPr>
        <w:numPr>
          <w:ilvl w:val="0"/>
          <w:numId w:val="57"/>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is every adult’s right to be protected from abuse irrespective of their age, gender identity, faith or religion, culture, ethnicity, sexual orientation, background, economic position, marital status, disability or level of ability.</w:t>
      </w:r>
    </w:p>
    <w:p>
      <w:pPr>
        <w:numPr>
          <w:ilvl w:val="0"/>
          <w:numId w:val="57"/>
        </w:numPr>
        <w:spacing w:before="0" w:after="200" w:line="276"/>
        <w:ind w:right="0" w:left="284" w:hanging="284"/>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All staff and volunteers share the responsibility for the protection of adults at risk and will show respect and understanding for their rights, safety and welfare.</w:t>
      </w:r>
    </w:p>
    <w:p>
      <w:pPr>
        <w:numPr>
          <w:ilvl w:val="0"/>
          <w:numId w:val="57"/>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additional vulnerability of disabled adults (including those with invisible disabilities, learning and communication differences) is recognised. </w:t>
      </w:r>
    </w:p>
    <w:p>
      <w:pPr>
        <w:numPr>
          <w:ilvl w:val="0"/>
          <w:numId w:val="57"/>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Allegations of abuse or concerns about the welfare of any adult will be treated seriously and will be responded to swiftly and appropriately.</w:t>
      </w:r>
    </w:p>
    <w:p>
      <w:pPr>
        <w:numPr>
          <w:ilvl w:val="0"/>
          <w:numId w:val="57"/>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recognises the role and responsibilities of the statutory agencies in safeguarding adults and is committed to complying with the procedures of the Local Safeguarding Adults Boards.</w:t>
      </w:r>
    </w:p>
    <w:p>
      <w:pPr>
        <w:numPr>
          <w:ilvl w:val="0"/>
          <w:numId w:val="57"/>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Confidentiality will be maintained appropriately at all times and the adult’s safety and welfare must be the overriding consideration when making decisions on whether or not to share information about them. </w:t>
      </w:r>
    </w:p>
    <w:p>
      <w:pPr>
        <w:numPr>
          <w:ilvl w:val="0"/>
          <w:numId w:val="57"/>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 C will support all adults to understand their roles and responsibilities with regards to safeguarding and protecting adults at risk, including the responsibility to report all concerns in line with Ineos GC safeguarding adults policy and procedures.</w:t>
      </w:r>
    </w:p>
    <w:p>
      <w:pPr>
        <w:numPr>
          <w:ilvl w:val="0"/>
          <w:numId w:val="57"/>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participants involved in golfing activities have the right to be listened to with respect and to be heard.</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Guidance and legislation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Care Act 2014</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Protection of Freedoms Act 2012</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Domestic Violence, Crime and Victims (Amendment ) Act 2012</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Equality Act 2010 </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Safeguarding Vulnerable Groups Act 2006</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Mental Capacity Act 2005</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Sexual Offences Act 2003</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Human Rights Act 1998</w:t>
      </w:r>
    </w:p>
    <w:p>
      <w:pPr>
        <w:numPr>
          <w:ilvl w:val="0"/>
          <w:numId w:val="6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Data Protection Act 2018</w:t>
      </w:r>
    </w:p>
    <w:p>
      <w:pPr>
        <w:spacing w:before="0" w:after="200" w:line="276"/>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Responsibilities and implementation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 C will seek to promote the principles of safeguarding by:</w:t>
      </w:r>
    </w:p>
    <w:p>
      <w:pPr>
        <w:numPr>
          <w:ilvl w:val="0"/>
          <w:numId w:val="6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Reviewing Ineos G C policy and procedures every three years or whenever there is a major change in legislation. </w:t>
      </w:r>
    </w:p>
    <w:p>
      <w:pPr>
        <w:numPr>
          <w:ilvl w:val="0"/>
          <w:numId w:val="6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Giving guidance on appropriate recruitment procedures to assess the suitability of volunteers and staff working with vulnerable groups.</w:t>
      </w:r>
    </w:p>
    <w:p>
      <w:pPr>
        <w:numPr>
          <w:ilvl w:val="0"/>
          <w:numId w:val="6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Following procedures to report welfare concerns and allegations about the behaviour of adults and ensure that all staff, volunteers, parents and participants, including children, are aware of these procedures.</w:t>
      </w:r>
    </w:p>
    <w:p>
      <w:pPr>
        <w:numPr>
          <w:ilvl w:val="0"/>
          <w:numId w:val="65"/>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Directing club staff, volunteers &amp; coaches to appropriate safeguarding training and learning opportunities, where this is appropriate to their role.</w:t>
      </w:r>
    </w:p>
    <w:p>
      <w:pPr>
        <w:spacing w:before="0" w:after="200" w:line="276"/>
        <w:ind w:right="0" w:left="0" w:firstLine="0"/>
        <w:jc w:val="left"/>
        <w:rPr>
          <w:rFonts w:ascii="Verdana" w:hAnsi="Verdana" w:cs="Verdana" w:eastAsia="Verdana"/>
          <w:b/>
          <w:color w:val="auto"/>
          <w:spacing w:val="0"/>
          <w:position w:val="0"/>
          <w:sz w:val="22"/>
          <w:shd w:fill="auto" w:val="clear"/>
        </w:rPr>
      </w:pPr>
    </w:p>
    <w:p>
      <w:pPr>
        <w:numPr>
          <w:ilvl w:val="0"/>
          <w:numId w:val="67"/>
        </w:numPr>
        <w:tabs>
          <w:tab w:val="left" w:pos="720" w:leader="none"/>
        </w:tabs>
        <w:spacing w:before="0" w:after="200" w:line="276"/>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Complaints, concerns and allegations </w:t>
      </w:r>
    </w:p>
    <w:p>
      <w:pPr>
        <w:numPr>
          <w:ilvl w:val="0"/>
          <w:numId w:val="67"/>
        </w:numPr>
        <w:spacing w:before="0" w:after="200" w:line="276"/>
        <w:ind w:right="0" w:left="720" w:hanging="72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Pr>
          <w:rFonts w:ascii="Verdana" w:hAnsi="Verdana" w:cs="Verdana" w:eastAsia="Verdana"/>
          <w:color w:val="auto"/>
          <w:spacing w:val="0"/>
          <w:position w:val="0"/>
          <w:sz w:val="24"/>
          <w:shd w:fill="auto" w:val="clear"/>
        </w:rPr>
        <w:t xml:space="preserve"> </w:t>
      </w:r>
    </w:p>
    <w:p>
      <w:pPr>
        <w:numPr>
          <w:ilvl w:val="0"/>
          <w:numId w:val="67"/>
        </w:numPr>
        <w:spacing w:before="0" w:after="200" w:line="276"/>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person reporting the concern is not required to decide whether abuse has occurred, but simply has a duty to pass on their concerns and any relevant information tel: 01526 351824. All concerns will be treated in confidence. Details should only be shared on a ‘need to know’ basis with those who can help with the management of the concern.  </w:t>
        <w:br/>
      </w:r>
    </w:p>
    <w:p>
      <w:pPr>
        <w:numPr>
          <w:ilvl w:val="0"/>
          <w:numId w:val="67"/>
        </w:numPr>
        <w:spacing w:before="0" w:after="200" w:line="276"/>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Concerns will be recorded on an Incident Report Form and sent to England Golf Lead Safeguarding Officer and retained confidentially. The Lead Safeguarding Officer will assist with completion of this form if required, tel 01526 351824.</w:t>
      </w:r>
    </w:p>
    <w:p>
      <w:pPr>
        <w:spacing w:before="0" w:after="200" w:line="276"/>
        <w:ind w:right="0" w:left="0" w:firstLine="0"/>
        <w:jc w:val="left"/>
        <w:rPr>
          <w:rFonts w:ascii="Verdana" w:hAnsi="Verdana" w:cs="Verdana" w:eastAsia="Verdana"/>
          <w:color w:val="auto"/>
          <w:spacing w:val="0"/>
          <w:position w:val="0"/>
          <w:sz w:val="22"/>
          <w:shd w:fill="auto" w:val="clear"/>
        </w:rPr>
      </w:pPr>
    </w:p>
    <w:p>
      <w:pPr>
        <w:numPr>
          <w:ilvl w:val="0"/>
          <w:numId w:val="70"/>
        </w:numPr>
        <w:spacing w:before="0" w:after="200" w:line="276"/>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 C will work with England Golf, counties and other external agencies to take appropriate action where concerns relate to potential abuse or serious poor practice. Ineos GC disciplinary procedures will be applied and followed where possible.</w:t>
        <w:br/>
      </w:r>
    </w:p>
    <w:p>
      <w:pPr>
        <w:numPr>
          <w:ilvl w:val="0"/>
          <w:numId w:val="70"/>
        </w:numPr>
        <w:spacing w:before="0" w:after="200" w:line="276"/>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Safeguarding adults at risk requires everyone to be committed to the highest possible standards of openness, integrity and accountability.  Ineos GC 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p>
    <w:p>
      <w:pPr>
        <w:spacing w:before="0" w:after="200" w:line="276"/>
        <w:ind w:right="0" w:left="0" w:firstLine="0"/>
        <w:jc w:val="left"/>
        <w:rPr>
          <w:rFonts w:ascii="Verdana" w:hAnsi="Verdana" w:cs="Verdana" w:eastAsia="Verdana"/>
          <w:b/>
          <w:color w:val="auto"/>
          <w:spacing w:val="0"/>
          <w:position w:val="0"/>
          <w:sz w:val="22"/>
          <w:shd w:fill="auto" w:val="clear"/>
        </w:rPr>
      </w:pPr>
    </w:p>
    <w:p>
      <w:pPr>
        <w:numPr>
          <w:ilvl w:val="0"/>
          <w:numId w:val="72"/>
        </w:numPr>
        <w:spacing w:before="0" w:after="200" w:line="276"/>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It is important when considering your concern that you also consider the needs and wishes of the person at risk.</w:t>
      </w:r>
      <w:r>
        <w:rPr>
          <w:rFonts w:ascii="Verdana" w:hAnsi="Verdana" w:cs="Verdana" w:eastAsia="Verdana"/>
          <w:b/>
          <w:color w:val="auto"/>
          <w:spacing w:val="0"/>
          <w:position w:val="0"/>
          <w:sz w:val="22"/>
          <w:shd w:fill="auto" w:val="clear"/>
        </w:rPr>
        <w:br/>
      </w:r>
    </w:p>
    <w:p>
      <w:pPr>
        <w:spacing w:before="0" w:after="200" w:line="276"/>
        <w:ind w:right="0" w:left="0" w:firstLine="0"/>
        <w:jc w:val="left"/>
        <w:rPr>
          <w:rFonts w:ascii="Verdana" w:hAnsi="Verdana" w:cs="Verdana" w:eastAsia="Verdana"/>
          <w:color w:val="000000"/>
          <w:spacing w:val="0"/>
          <w:position w:val="0"/>
          <w:sz w:val="24"/>
          <w:shd w:fill="auto" w:val="clear"/>
        </w:rPr>
      </w:pPr>
    </w:p>
    <w:p>
      <w:pPr>
        <w:numPr>
          <w:ilvl w:val="0"/>
          <w:numId w:val="74"/>
        </w:numPr>
        <w:tabs>
          <w:tab w:val="left" w:pos="720" w:leader="none"/>
        </w:tabs>
        <w:spacing w:before="0" w:after="200" w:line="276"/>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Responding to disclosure of abuse  </w:t>
      </w:r>
    </w:p>
    <w:p>
      <w:pPr>
        <w:numPr>
          <w:ilvl w:val="0"/>
          <w:numId w:val="74"/>
        </w:numPr>
        <w:spacing w:before="0" w:after="200" w:line="276"/>
        <w:ind w:right="0" w:left="375" w:hanging="375"/>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If an adult indicates that they are being abused the person receiving the </w:t>
      </w:r>
    </w:p>
    <w:p>
      <w:pPr>
        <w:spacing w:before="0" w:after="200" w:line="276"/>
        <w:ind w:right="0" w:left="0" w:firstLine="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information should:</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Stay Calm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Listen carefully to what is said, allowing the adult to continue at their own pace, and take it seriously.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Explain that it is likely the information will have to be shared with others- do not promise to keep secrets.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Keep questions to a minimum, only ask questions if you need to identify/ clarify what the person is telling you. Take care to distinguish between fact, observation, allegation and opinion. It is important that the information you have is accurate.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Reassure the person that they have done the right thing in revealing the information.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Ask them what they would like to happen next.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Explain what you would like to do next and ask if they are happy for you to share the information in order for you to help them. </w:t>
      </w:r>
      <w:r>
        <w:rPr>
          <w:rFonts w:ascii="Verdana" w:hAnsi="Verdana" w:cs="Verdana" w:eastAsia="Verdana"/>
          <w:color w:val="000000"/>
          <w:spacing w:val="0"/>
          <w:position w:val="0"/>
          <w:sz w:val="22"/>
          <w:shd w:fill="auto" w:val="clear"/>
        </w:rPr>
        <w:t xml:space="preserve">As long as it does not increase the risk to the individual, you should explain to them that it is your duty to share your concern with your Lead Safeguarding Officer.</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Record in writing what was said using the adult’s own words as soon as possible </w:t>
      </w:r>
    </w:p>
    <w:p>
      <w:pPr>
        <w:numPr>
          <w:ilvl w:val="0"/>
          <w:numId w:val="77"/>
        </w:numPr>
        <w:spacing w:before="0" w:after="200" w:line="276"/>
        <w:ind w:right="0" w:left="375" w:hanging="375"/>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Dismiss the concern. </w:t>
        <w:tab/>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Panic or allow shock or distaste to show.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Probe for more information than is offered.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Make promises that cannot be kept. </w:t>
      </w:r>
    </w:p>
    <w:p>
      <w:pPr>
        <w:numPr>
          <w:ilvl w:val="0"/>
          <w:numId w:val="77"/>
        </w:numPr>
        <w:spacing w:before="0" w:after="200" w:line="276"/>
        <w:ind w:right="0" w:left="680" w:hanging="34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Conduct an investigation of the case.</w:t>
      </w:r>
      <w:r>
        <w:rPr>
          <w:rFonts w:ascii="Verdana" w:hAnsi="Verdana" w:cs="Verdana" w:eastAsia="Verdana"/>
          <w:b/>
          <w:color w:val="auto"/>
          <w:spacing w:val="0"/>
          <w:position w:val="0"/>
          <w:sz w:val="22"/>
          <w:shd w:fill="auto" w:val="clear"/>
        </w:rPr>
        <w:t xml:space="preserve"> </w:t>
      </w:r>
    </w:p>
    <w:p>
      <w:pPr>
        <w:numPr>
          <w:ilvl w:val="0"/>
          <w:numId w:val="77"/>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Make negative comments about the alleged perpetrator.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the matter is urgent and relates to the immediate safety of an adult at risk then contact the police immediately. Complete and Incident Form and copy it to the England Golf Lead Safeguarding Officer within 24 hours. </w:t>
      </w:r>
    </w:p>
    <w:p>
      <w:pPr>
        <w:spacing w:before="0" w:after="200" w:line="276"/>
        <w:ind w:right="0" w:left="0" w:firstLine="0"/>
        <w:jc w:val="left"/>
        <w:rPr>
          <w:rFonts w:ascii="Verdana" w:hAnsi="Verdana" w:cs="Verdana" w:eastAsia="Verdana"/>
          <w:color w:val="auto"/>
          <w:spacing w:val="0"/>
          <w:position w:val="0"/>
          <w:sz w:val="22"/>
          <w:shd w:fill="auto" w:val="clear"/>
        </w:rPr>
      </w:pPr>
    </w:p>
    <w:p>
      <w:pPr>
        <w:numPr>
          <w:ilvl w:val="0"/>
          <w:numId w:val="81"/>
        </w:numPr>
        <w:tabs>
          <w:tab w:val="left" w:pos="720" w:leader="none"/>
        </w:tabs>
        <w:spacing w:before="0" w:after="200" w:line="276"/>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Signs and indicators of abuse and neglect </w:t>
      </w:r>
    </w:p>
    <w:p>
      <w:pPr>
        <w:numPr>
          <w:ilvl w:val="0"/>
          <w:numId w:val="81"/>
        </w:numPr>
        <w:spacing w:before="0" w:after="200" w:line="276"/>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Abuse can take place in any context. Abuse may be inflicted by anyone. Players, members, staff, volunteers or coaches may suspect that an adult is being abused or neglected outside of the club setting. There are many signs and indicators that may suggest someone is being abused or neglected, these include but are not limited to:</w:t>
      </w:r>
    </w:p>
    <w:p>
      <w:pPr>
        <w:numPr>
          <w:ilvl w:val="0"/>
          <w:numId w:val="81"/>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Unexplained bruises or injuries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or lack of medical attention when an injury is present.</w:t>
      </w:r>
    </w:p>
    <w:p>
      <w:pPr>
        <w:numPr>
          <w:ilvl w:val="0"/>
          <w:numId w:val="81"/>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Person has belongings or money going missing.</w:t>
      </w:r>
    </w:p>
    <w:p>
      <w:pPr>
        <w:numPr>
          <w:ilvl w:val="0"/>
          <w:numId w:val="81"/>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Person is not attending / no longer enjoying their sessions.</w:t>
      </w:r>
    </w:p>
    <w:p>
      <w:pPr>
        <w:numPr>
          <w:ilvl w:val="0"/>
          <w:numId w:val="81"/>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Someone losing or gaining weight / an unkempt appearance. A change in the behaviour or confidence of a person.</w:t>
      </w:r>
    </w:p>
    <w:p>
      <w:pPr>
        <w:numPr>
          <w:ilvl w:val="0"/>
          <w:numId w:val="81"/>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Self-harm.</w:t>
      </w:r>
    </w:p>
    <w:p>
      <w:pPr>
        <w:numPr>
          <w:ilvl w:val="0"/>
          <w:numId w:val="81"/>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fear of a particular group or individual.</w:t>
      </w:r>
    </w:p>
    <w:p>
      <w:pPr>
        <w:numPr>
          <w:ilvl w:val="0"/>
          <w:numId w:val="81"/>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They may tell you / another person they are being abused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i.e. a disclosure.</w:t>
      </w:r>
    </w:p>
    <w:p>
      <w:pPr>
        <w:spacing w:before="0" w:after="200" w:line="276"/>
        <w:ind w:right="0" w:left="0" w:firstLine="0"/>
        <w:jc w:val="left"/>
        <w:rPr>
          <w:rFonts w:ascii="Verdana" w:hAnsi="Verdana" w:cs="Verdana" w:eastAsia="Verdana"/>
          <w:b/>
          <w:color w:val="auto"/>
          <w:spacing w:val="0"/>
          <w:position w:val="0"/>
          <w:sz w:val="22"/>
          <w:shd w:fill="auto" w:val="clear"/>
        </w:rPr>
      </w:pPr>
    </w:p>
    <w:p>
      <w:pPr>
        <w:numPr>
          <w:ilvl w:val="0"/>
          <w:numId w:val="85"/>
        </w:numPr>
        <w:tabs>
          <w:tab w:val="left" w:pos="720" w:leader="none"/>
        </w:tabs>
        <w:spacing w:before="0" w:after="200" w:line="276"/>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Consent </w:t>
      </w:r>
    </w:p>
    <w:p>
      <w:pPr>
        <w:numPr>
          <w:ilvl w:val="0"/>
          <w:numId w:val="85"/>
        </w:numPr>
        <w:spacing w:before="0" w:after="200" w:line="276"/>
        <w:ind w:right="0" w:left="720" w:hanging="72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The Care Act 2014 statutory guidance advises that the first priority in safeguarding should always be to ensure the safety and well-being of the adult.</w:t>
      </w:r>
    </w:p>
    <w:p>
      <w:pPr>
        <w:numPr>
          <w:ilvl w:val="0"/>
          <w:numId w:val="85"/>
        </w:numPr>
        <w:spacing w:before="0" w:after="200" w:line="276"/>
        <w:ind w:right="0" w:left="720" w:hanging="72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Adults have a general right to independence, choice and self-determination including control over information about themselves. </w:t>
      </w:r>
    </w:p>
    <w:p>
      <w:pPr>
        <w:numPr>
          <w:ilvl w:val="0"/>
          <w:numId w:val="85"/>
        </w:numPr>
        <w:spacing w:before="0" w:after="200" w:line="276"/>
        <w:ind w:right="0" w:left="720" w:hanging="72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Ineos GC 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As long as it does not increase the risk to the individual, it should be explained to them that it is their duty to share their concern with the England Golf Lead Safeguarding Officer. Consent is not required to seek guidance or share information with the National Governing Body.</w:t>
      </w:r>
    </w:p>
    <w:p>
      <w:pPr>
        <w:numPr>
          <w:ilvl w:val="0"/>
          <w:numId w:val="85"/>
        </w:numPr>
        <w:spacing w:before="0" w:after="200" w:line="276"/>
        <w:ind w:right="0" w:left="720" w:hanging="72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pPr>
        <w:numPr>
          <w:ilvl w:val="0"/>
          <w:numId w:val="85"/>
        </w:numPr>
        <w:spacing w:before="0" w:after="200" w:line="276"/>
        <w:ind w:right="0" w:left="720" w:hanging="72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Those seeking to support the adult should consider the following: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Explore the reasons for the adult’s objections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what are they worried about?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Explain the concern and why you think it is important to share the information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Tell the adult with whom you may be sharing the information with and why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Explain the benefits, to them or others, of sharing information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could</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they access better help and support?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Discuss the consequences of not sharing the information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could someone   come to harm?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Reassure them that the information will not be shared with anyone who does not need to know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Reassure them that they are not alone and that support is available to them. </w:t>
      </w:r>
    </w:p>
    <w:p>
      <w:pPr>
        <w:numPr>
          <w:ilvl w:val="0"/>
          <w:numId w:val="85"/>
        </w:numPr>
        <w:spacing w:before="0" w:after="200" w:line="276"/>
        <w:ind w:right="0" w:left="720" w:hanging="72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If the adult continues to refuse intervention to support them with a safeguarding concern, or requests that information about them is not shared with other safeguarding partners their wishes should be respected.</w:t>
      </w:r>
    </w:p>
    <w:p>
      <w:pPr>
        <w:numPr>
          <w:ilvl w:val="0"/>
          <w:numId w:val="85"/>
        </w:numPr>
        <w:spacing w:before="0" w:after="200" w:line="276"/>
        <w:ind w:right="0" w:left="720" w:hanging="72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However, there are a number of circumstances where those seeking to support the adult can reasonably override such a decision, including but not limited to: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appears that the adult lacks the mental capacity to make that decision (this must be properly explored and further guidance should be sought from the England Golf Lead Safeguarding Officer)</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Emergency or life-threatening situations may warrant the sharing of relevant information with the emergency services without consent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Other people are, or may be, at risk, including children </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serious crime has been committed / may be prevented</w:t>
      </w:r>
    </w:p>
    <w:p>
      <w:pPr>
        <w:numPr>
          <w:ilvl w:val="0"/>
          <w:numId w:val="85"/>
        </w:numPr>
        <w:spacing w:before="0" w:after="200" w:line="276"/>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Individuals in a Position of Trust are implicated</w:t>
      </w:r>
    </w:p>
    <w:p>
      <w:pPr>
        <w:numPr>
          <w:ilvl w:val="0"/>
          <w:numId w:val="85"/>
        </w:numPr>
        <w:spacing w:before="0" w:after="200" w:line="276"/>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such circumstances, it is important to keep a careful record of the decision-making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numPr>
          <w:ilvl w:val="0"/>
          <w:numId w:val="92"/>
        </w:numPr>
        <w:tabs>
          <w:tab w:val="left" w:pos="720" w:leader="none"/>
        </w:tabs>
        <w:spacing w:before="0" w:after="200" w:line="276"/>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Useful Contacts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Useful Contacts </w:t>
      </w:r>
    </w:p>
    <w:tbl>
      <w:tblPr/>
      <w:tblGrid>
        <w:gridCol w:w="2405"/>
        <w:gridCol w:w="2835"/>
        <w:gridCol w:w="3776"/>
      </w:tblGrid>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Name</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Number and email </w:t>
            </w:r>
          </w:p>
        </w:tc>
      </w:tr>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Lead Safeguarding Officer</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England Golf</w:t>
              <w:br/>
              <w:t xml:space="preserve">National Golf Centre</w:t>
              <w:br/>
              <w:t xml:space="preserve">The Broadway</w:t>
              <w:br/>
              <w:t xml:space="preserve">Woodhall Spa</w:t>
              <w:br/>
              <w:t xml:space="preserve">Lincolnshire</w:t>
              <w:br/>
              <w:t xml:space="preserve">LN10 6PU</w:t>
            </w:r>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01526 351824</w:t>
              <w:br/>
              <w:t xml:space="preserve">safeguarding@englandgolf.org </w:t>
            </w:r>
          </w:p>
        </w:tc>
      </w:tr>
    </w:tbl>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Local Contacts </w:t>
      </w:r>
    </w:p>
    <w:tbl>
      <w:tblPr/>
      <w:tblGrid>
        <w:gridCol w:w="2405"/>
        <w:gridCol w:w="2835"/>
        <w:gridCol w:w="3776"/>
      </w:tblGrid>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Name</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Number and email </w:t>
            </w:r>
          </w:p>
        </w:tc>
      </w:tr>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Durham</w:t>
            </w:r>
            <w:r>
              <w:rPr>
                <w:rFonts w:ascii="Verdana" w:hAnsi="Verdana" w:cs="Verdana" w:eastAsia="Verdana"/>
                <w:color w:val="auto"/>
                <w:spacing w:val="0"/>
                <w:position w:val="0"/>
                <w:sz w:val="22"/>
                <w:shd w:fill="auto" w:val="clear"/>
              </w:rPr>
              <w:t xml:space="preserve"> County Council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Safeguarding Adults</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Durham</w:t>
            </w:r>
            <w:r>
              <w:rPr>
                <w:rFonts w:ascii="Verdana" w:hAnsi="Verdana" w:cs="Verdana" w:eastAsia="Verdana"/>
                <w:color w:val="auto"/>
                <w:spacing w:val="0"/>
                <w:position w:val="0"/>
                <w:sz w:val="22"/>
                <w:shd w:fill="auto" w:val="clear"/>
              </w:rPr>
              <w:t xml:space="preserve"> County Council-Social Care-Emergency Duty Team</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National Contacts </w:t>
      </w:r>
    </w:p>
    <w:tbl>
      <w:tblPr/>
      <w:tblGrid>
        <w:gridCol w:w="2405"/>
        <w:gridCol w:w="2835"/>
        <w:gridCol w:w="3776"/>
      </w:tblGrid>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Name</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Website</w:t>
            </w:r>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Number and email </w:t>
            </w:r>
          </w:p>
        </w:tc>
      </w:tr>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Ann Craft Trust - Safeguarding Adults in Sport and Activity</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spacing w:val="0"/>
                <w:position w:val="0"/>
                <w:sz w:val="22"/>
              </w:rPr>
            </w:pPr>
            <w:hyperlink xmlns:r="http://schemas.openxmlformats.org/officeDocument/2006/relationships" r:id="docRId0">
              <w:r>
                <w:rPr>
                  <w:rFonts w:ascii="Verdana" w:hAnsi="Verdana" w:cs="Verdana" w:eastAsia="Verdana"/>
                  <w:color w:val="0000FF"/>
                  <w:spacing w:val="0"/>
                  <w:position w:val="0"/>
                  <w:sz w:val="22"/>
                  <w:u w:val="single"/>
                  <w:shd w:fill="auto" w:val="clear"/>
                </w:rPr>
                <w:t xml:space="preserve">www.anncrafttrust.org</w:t>
              </w:r>
            </w:hyperlink>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0115 951 5400</w:t>
              <w:br/>
              <w:t xml:space="preserve">Ann-Craft Trust@nottingham.ac.uk </w:t>
            </w:r>
          </w:p>
        </w:tc>
      </w:tr>
      <w:tr>
        <w:trPr>
          <w:trHeight w:val="1" w:hRule="atLeast"/>
          <w:jc w:val="left"/>
        </w:trPr>
        <w:tc>
          <w:tcPr>
            <w:tcW w:w="240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Samaritans</w:t>
            </w:r>
          </w:p>
        </w:tc>
        <w:tc>
          <w:tcPr>
            <w:tcW w:w="2835"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76" w:type="dxa"/>
            <w:tcBorders>
              <w:top w:val="single" w:color="fe567d" w:sz="4"/>
              <w:left w:val="single" w:color="fe567d" w:sz="4"/>
              <w:bottom w:val="single" w:color="fe567d" w:sz="4"/>
              <w:right w:val="single" w:color="fe567d"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01522 782333</w:t>
            </w:r>
          </w:p>
        </w:tc>
      </w:tr>
    </w:tbl>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Safeguarding Adults Flowchart</w:t>
        <w:br/>
        <w:t xml:space="preserve">What to do if you have a concern about an adult?</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720" w:firstLine="0"/>
        <w:jc w:val="left"/>
        <w:rPr>
          <w:rFonts w:ascii="Verdana" w:hAnsi="Verdana" w:cs="Verdana" w:eastAsia="Verdana"/>
          <w:b/>
          <w:color w:val="auto"/>
          <w:spacing w:val="0"/>
          <w:position w:val="0"/>
          <w:sz w:val="22"/>
          <w:shd w:fill="FFFFFF" w:val="clear"/>
        </w:rPr>
      </w:pPr>
    </w:p>
    <w:p>
      <w:pPr>
        <w:spacing w:before="0" w:after="200" w:line="276"/>
        <w:ind w:right="0" w:left="720" w:firstLine="0"/>
        <w:jc w:val="left"/>
        <w:rPr>
          <w:rFonts w:ascii="Verdana" w:hAnsi="Verdana" w:cs="Verdana" w:eastAsia="Verdana"/>
          <w:b/>
          <w:color w:val="auto"/>
          <w:spacing w:val="0"/>
          <w:position w:val="0"/>
          <w:sz w:val="22"/>
          <w:shd w:fill="FFFFFF" w:val="clear"/>
        </w:rPr>
      </w:pPr>
    </w:p>
    <w:p>
      <w:pPr>
        <w:spacing w:before="0" w:after="200" w:line="276"/>
        <w:ind w:right="0" w:left="72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 </w:t>
      </w:r>
    </w:p>
    <w:p>
      <w:pPr>
        <w:spacing w:before="0" w:after="200" w:line="276"/>
        <w:ind w:right="0" w:left="720" w:firstLine="0"/>
        <w:jc w:val="left"/>
        <w:rPr>
          <w:rFonts w:ascii="Verdana" w:hAnsi="Verdana" w:cs="Verdana" w:eastAsia="Verdana"/>
          <w:color w:val="auto"/>
          <w:spacing w:val="0"/>
          <w:position w:val="0"/>
          <w:sz w:val="22"/>
          <w:shd w:fill="FFFFFF"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Ineos GC </w:t>
      </w: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Capacity </w:t>
      </w:r>
      <w:r>
        <w:rPr>
          <w:rFonts w:ascii="Verdana" w:hAnsi="Verdana" w:cs="Verdana" w:eastAsia="Verdana"/>
          <w:color w:val="E30137"/>
          <w:spacing w:val="0"/>
          <w:position w:val="0"/>
          <w:sz w:val="28"/>
          <w:shd w:fill="auto" w:val="clear"/>
        </w:rPr>
        <w:t xml:space="preserve">–</w:t>
      </w:r>
      <w:r>
        <w:rPr>
          <w:rFonts w:ascii="Verdana" w:hAnsi="Verdana" w:cs="Verdana" w:eastAsia="Verdana"/>
          <w:color w:val="E30137"/>
          <w:spacing w:val="0"/>
          <w:position w:val="0"/>
          <w:sz w:val="28"/>
          <w:shd w:fill="auto" w:val="clear"/>
        </w:rPr>
        <w:t xml:space="preserve"> Guidance on Making Decisions</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issue of capacity or decision making is a key one in safeguarding adults. It is useful for organisations to have an overview of the concept of capacity.</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make many decisions every day, often without realising. We make so many decisions that it’s easy to take this ability for granted.</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But some people are only able to make some decisions, and a small number of people cannot make any decisions. Being unable to make a decision is called “lacking capacity”.</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make a decision we need to:</w:t>
      </w:r>
    </w:p>
    <w:p>
      <w:pPr>
        <w:numPr>
          <w:ilvl w:val="0"/>
          <w:numId w:val="124"/>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Understand information</w:t>
      </w:r>
    </w:p>
    <w:p>
      <w:pPr>
        <w:numPr>
          <w:ilvl w:val="0"/>
          <w:numId w:val="124"/>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Remember it for long enough</w:t>
      </w:r>
    </w:p>
    <w:p>
      <w:pPr>
        <w:numPr>
          <w:ilvl w:val="0"/>
          <w:numId w:val="124"/>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Think about the information</w:t>
      </w:r>
    </w:p>
    <w:p>
      <w:pPr>
        <w:numPr>
          <w:ilvl w:val="0"/>
          <w:numId w:val="124"/>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Communicate our decision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person’s ability to do this may be affected by things like learning disability, dementia, mental health needs, acquired brain injury, and physical ill health.</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Mental Capacity Act 2005 (MCA) states that every individual has the right to make their own decisions and provides the framework for this to happen.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MCA is about making sure that people over the age of 16 have the support they need to make as many decisions as possible.</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MCA also protects people who need family, friends, or paid support staff to make decisions for them because they lack capacity to make specific decisions.</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Our ability to make decisions can change over the course of a day</w:t>
      </w:r>
      <w:r>
        <w:rPr>
          <w:rFonts w:ascii="Verdana" w:hAnsi="Verdana" w:cs="Verdana" w:eastAsia="Verdana"/>
          <w:b/>
          <w:color w:val="auto"/>
          <w:spacing w:val="0"/>
          <w:position w:val="0"/>
          <w:sz w:val="22"/>
          <w:shd w:fill="auto" w:val="clear"/>
        </w:rPr>
        <w:t xml:space="preserve">.</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Here are some examples that demonstrate how the timing of a question can affect the response:</w:t>
      </w:r>
    </w:p>
    <w:p>
      <w:pPr>
        <w:numPr>
          <w:ilvl w:val="0"/>
          <w:numId w:val="126"/>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person with epilepsy may not be able to make a decision following a seizure.</w:t>
      </w:r>
    </w:p>
    <w:p>
      <w:pPr>
        <w:numPr>
          <w:ilvl w:val="0"/>
          <w:numId w:val="126"/>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Someone who is anxious may not be able to make a decision at that point.</w:t>
      </w:r>
    </w:p>
    <w:p>
      <w:pPr>
        <w:numPr>
          <w:ilvl w:val="0"/>
          <w:numId w:val="126"/>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person may not be able to respond as quickly if they have just taken some medication that causes fatigue.</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each of these examples, it may appear as though the person cannot make a decision. But later in the day, presented with the same decision, they may be able to at least be involved.</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help you to understand the MCA, consider the following five points:</w:t>
      </w:r>
    </w:p>
    <w:p>
      <w:pPr>
        <w:numPr>
          <w:ilvl w:val="0"/>
          <w:numId w:val="128"/>
        </w:numPr>
        <w:tabs>
          <w:tab w:val="left" w:pos="720" w:leader="none"/>
        </w:tabs>
        <w:spacing w:before="0" w:after="200" w:line="276"/>
        <w:ind w:right="0" w:left="36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Assume that people are able to make decisions, unless it is shown that they are not. If you have concerns about a person’s level of understanding, you should check this with them, and if applicable, with the people supporting them.</w:t>
      </w:r>
    </w:p>
    <w:p>
      <w:pPr>
        <w:numPr>
          <w:ilvl w:val="0"/>
          <w:numId w:val="128"/>
        </w:numPr>
        <w:tabs>
          <w:tab w:val="left" w:pos="720" w:leader="none"/>
        </w:tabs>
        <w:spacing w:before="0" w:after="200" w:line="276"/>
        <w:ind w:right="0" w:left="36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Give people as much support as they need to make decisions. You may be involved in this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you might need to think about the way you communicate or provide information, and you may be asked your opinion.</w:t>
      </w:r>
    </w:p>
    <w:p>
      <w:pPr>
        <w:numPr>
          <w:ilvl w:val="0"/>
          <w:numId w:val="128"/>
        </w:numPr>
        <w:tabs>
          <w:tab w:val="left" w:pos="720" w:leader="none"/>
        </w:tabs>
        <w:spacing w:before="0" w:after="200" w:line="276"/>
        <w:ind w:right="0" w:left="36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People have the right to make unwise decisions. The important thing is that they understand the implications. If they understand the implications, consider how risks might be minimised.</w:t>
      </w:r>
    </w:p>
    <w:p>
      <w:pPr>
        <w:numPr>
          <w:ilvl w:val="0"/>
          <w:numId w:val="128"/>
        </w:numPr>
        <w:tabs>
          <w:tab w:val="left" w:pos="720" w:leader="none"/>
        </w:tabs>
        <w:spacing w:before="0" w:after="200" w:line="276"/>
        <w:ind w:right="0" w:left="36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pPr>
        <w:numPr>
          <w:ilvl w:val="0"/>
          <w:numId w:val="128"/>
        </w:numPr>
        <w:tabs>
          <w:tab w:val="left" w:pos="720" w:leader="none"/>
        </w:tabs>
        <w:spacing w:before="0" w:after="200" w:line="276"/>
        <w:ind w:right="0" w:left="36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Find the least restrictive way of doing what needs to be done.</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Remember</w:t>
      </w:r>
    </w:p>
    <w:p>
      <w:pPr>
        <w:numPr>
          <w:ilvl w:val="0"/>
          <w:numId w:val="13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should not discriminate or make assumptions about someone’s ability to make decisions, and you should not pre-empt a “best-interests” decision merely on the basis of a person’s age, appearance, condition, or behaviour.</w:t>
      </w:r>
    </w:p>
    <w:p>
      <w:pPr>
        <w:numPr>
          <w:ilvl w:val="0"/>
          <w:numId w:val="131"/>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When it comes to decision-making, you could be involved in a minor way, or asked to provide more detail. The way you provide information might influence a person’s ultimate decision. A person may be receiving support that is not in line with the MCA, so you must be prepared to address this.</w:t>
      </w:r>
    </w:p>
    <w:p>
      <w:pPr>
        <w:numPr>
          <w:ilvl w:val="0"/>
          <w:numId w:val="131"/>
        </w:numPr>
        <w:spacing w:before="0" w:after="200" w:line="276"/>
        <w:ind w:right="0" w:left="284" w:hanging="284"/>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Incident Report Form</w:t>
      </w:r>
    </w:p>
    <w:tbl>
      <w:tblPr>
        <w:tblInd w:w="106" w:type="dxa"/>
      </w:tblPr>
      <w:tblGrid>
        <w:gridCol w:w="3887"/>
        <w:gridCol w:w="334"/>
        <w:gridCol w:w="4895"/>
      </w:tblGrid>
      <w:tr>
        <w:trPr>
          <w:trHeight w:val="330" w:hRule="auto"/>
          <w:jc w:val="left"/>
          <w:cantSplit w:val="1"/>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Recorder’s Name: </w:t>
            </w:r>
          </w:p>
        </w:tc>
      </w:tr>
      <w:tr>
        <w:trPr>
          <w:trHeight w:val="750"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325" w:hRule="auto"/>
          <w:jc w:val="left"/>
        </w:trPr>
        <w:tc>
          <w:tcPr>
            <w:tcW w:w="3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522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208"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20"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Name of Identified Adult:</w:t>
            </w:r>
          </w:p>
        </w:tc>
      </w:tr>
      <w:tr>
        <w:trPr>
          <w:trHeight w:val="892"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316" w:hRule="auto"/>
          <w:jc w:val="left"/>
        </w:trPr>
        <w:tc>
          <w:tcPr>
            <w:tcW w:w="3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522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222"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41"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Complainant’s Name:</w:t>
            </w:r>
          </w:p>
        </w:tc>
      </w:tr>
      <w:tr>
        <w:trPr>
          <w:trHeight w:val="885"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310" w:hRule="auto"/>
          <w:jc w:val="left"/>
        </w:trPr>
        <w:tc>
          <w:tcPr>
            <w:tcW w:w="422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4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215"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110"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Details of the allegations: [include: date; time; location; and nature of the incident.]</w:t>
            </w:r>
          </w:p>
        </w:tc>
      </w:tr>
      <w:tr>
        <w:trPr>
          <w:trHeight w:val="1118"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Additional information: [include: witnesses; corroborative statements; etc.]</w:t>
            </w:r>
          </w:p>
        </w:tc>
      </w:tr>
      <w:tr>
        <w:trPr>
          <w:trHeight w:val="1118"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Have you discussed your concerns with the adult? What are their views?</w:t>
            </w:r>
          </w:p>
        </w:tc>
      </w:tr>
      <w:tr>
        <w:trPr>
          <w:trHeight w:val="1118"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0" w:after="20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England Golf Safeguarding department notified (01526 351824)</w:t>
            </w:r>
          </w:p>
          <w:p>
            <w:pPr>
              <w:keepNext w:val="true"/>
              <w:keepLines w:val="true"/>
              <w:spacing w:before="0" w:after="20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Case Number (if allocated):</w:t>
            </w:r>
          </w:p>
          <w:p>
            <w:pPr>
              <w:keepNext w:val="true"/>
              <w:keepLines w:val="true"/>
              <w:spacing w:before="0" w:after="20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Name of person spoken to: </w:t>
            </w:r>
          </w:p>
          <w:p>
            <w:pPr>
              <w:keepNext w:val="true"/>
              <w:keepLines w:val="true"/>
              <w:spacing w:before="0" w:after="20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Date:                                                                   Time:</w:t>
            </w:r>
          </w:p>
          <w:p>
            <w:pPr>
              <w:spacing w:before="0" w:after="200" w:line="276"/>
              <w:ind w:right="0" w:left="0" w:firstLine="0"/>
              <w:jc w:val="left"/>
              <w:rPr>
                <w:spacing w:val="0"/>
                <w:position w:val="0"/>
                <w:sz w:val="22"/>
              </w:rPr>
            </w:pPr>
          </w:p>
        </w:tc>
      </w:tr>
      <w:tr>
        <w:trPr>
          <w:trHeight w:val="1118"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Action taken:</w:t>
            </w:r>
          </w:p>
          <w:p>
            <w:pPr>
              <w:keepNext w:val="true"/>
              <w:keepLines w:val="true"/>
              <w:spacing w:before="0" w:after="200" w:line="276"/>
              <w:ind w:right="0" w:left="0" w:firstLine="0"/>
              <w:jc w:val="both"/>
              <w:rPr>
                <w:rFonts w:ascii="Verdana" w:hAnsi="Verdana" w:cs="Verdana" w:eastAsia="Verdana"/>
                <w:color w:val="auto"/>
                <w:spacing w:val="0"/>
                <w:position w:val="0"/>
                <w:sz w:val="22"/>
                <w:shd w:fill="auto" w:val="clear"/>
              </w:rPr>
            </w:pPr>
          </w:p>
          <w:p>
            <w:pPr>
              <w:keepNext w:val="true"/>
              <w:keepLines w:val="true"/>
              <w:spacing w:before="0" w:after="200" w:line="276"/>
              <w:ind w:right="0"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Date:                                                                   Time:</w:t>
            </w:r>
          </w:p>
        </w:tc>
      </w:tr>
      <w:tr>
        <w:trPr>
          <w:trHeight w:val="1118"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Signature of Recorder:       </w:t>
            </w:r>
          </w:p>
          <w:p>
            <w:pPr>
              <w:keepNext w:val="true"/>
              <w:keepLines w:val="true"/>
              <w:spacing w:before="0" w:after="200" w:line="276"/>
              <w:ind w:right="0"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Signature of Complainant:</w:t>
            </w:r>
          </w:p>
        </w:tc>
      </w:tr>
      <w:tr>
        <w:trPr>
          <w:trHeight w:val="1118" w:hRule="auto"/>
          <w:jc w:val="left"/>
        </w:trPr>
        <w:tc>
          <w:tcPr>
            <w:tcW w:w="91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0" w:after="200" w:line="276"/>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Data protection:</w:t>
            </w:r>
          </w:p>
          <w:p>
            <w:pPr>
              <w:keepNext w:val="true"/>
              <w:keepLines w:val="true"/>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pPr>
              <w:keepNext w:val="true"/>
              <w:keepLines w:val="true"/>
              <w:spacing w:before="0" w:after="200" w:line="276"/>
              <w:ind w:right="0" w:left="0" w:firstLine="0"/>
              <w:jc w:val="both"/>
              <w:rPr>
                <w:color w:val="auto"/>
                <w:spacing w:val="0"/>
                <w:position w:val="0"/>
                <w:sz w:val="22"/>
              </w:rPr>
            </w:pPr>
            <w:r>
              <w:rPr>
                <w:rFonts w:ascii="Verdana" w:hAnsi="Verdana" w:cs="Verdana" w:eastAsia="Verdana"/>
                <w:color w:val="auto"/>
                <w:spacing w:val="0"/>
                <w:position w:val="0"/>
                <w:sz w:val="22"/>
                <w:shd w:fill="auto" w:val="clear"/>
              </w:rPr>
              <w:t xml:space="preserve">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Ineos GC </w:t>
      </w: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Guidance on types of harm </w:t>
      </w:r>
    </w:p>
    <w:p>
      <w:pPr>
        <w:spacing w:before="0" w:after="200" w:line="276"/>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The Care Act 2014 recognises 10 categories of abuse that may be experienced by adults.</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Self-neglect </w:t>
        <w:br/>
      </w:r>
      <w:r>
        <w:rPr>
          <w:rFonts w:ascii="Verdana" w:hAnsi="Verdana" w:cs="Verdana" w:eastAsia="Verdana"/>
          <w:color w:val="auto"/>
          <w:spacing w:val="0"/>
          <w:position w:val="0"/>
          <w:sz w:val="22"/>
          <w:shd w:fill="auto" w:val="clear"/>
        </w:rPr>
        <w:t xml:space="preserve">This covers a wide range of behaviour: neglecting to care for one’s personal hygiene, health or surroundings and includes behaviour such as hoarding.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Modern Slavery </w:t>
      </w:r>
      <w:r>
        <w:rPr>
          <w:rFonts w:ascii="Verdana" w:hAnsi="Verdana" w:cs="Verdana" w:eastAsia="Verdana"/>
          <w:color w:val="auto"/>
          <w:spacing w:val="0"/>
          <w:position w:val="0"/>
          <w:sz w:val="22"/>
          <w:shd w:fill="auto" w:val="clear"/>
        </w:rPr>
        <w:br/>
        <w:t xml:space="preserve">This encompasses slavery, human trafficking, forced labour and domestic servitude.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Domestic Abuse </w:t>
      </w:r>
      <w:r>
        <w:rPr>
          <w:rFonts w:ascii="Verdana" w:hAnsi="Verdana" w:cs="Verdana" w:eastAsia="Verdana"/>
          <w:color w:val="auto"/>
          <w:spacing w:val="0"/>
          <w:position w:val="0"/>
          <w:sz w:val="22"/>
          <w:shd w:fill="auto" w:val="clear"/>
        </w:rPr>
        <w:br/>
        <w:t xml:space="preserve">This includes psychological, physical, sexual, financial and emotional abuse perpetrated by anyone within a person’s family. It also includes so called 'honour' based violence.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Discriminatory </w:t>
      </w:r>
      <w:r>
        <w:rPr>
          <w:rFonts w:ascii="Verdana" w:hAnsi="Verdana" w:cs="Verdana" w:eastAsia="Verdana"/>
          <w:color w:val="auto"/>
          <w:spacing w:val="0"/>
          <w:position w:val="0"/>
          <w:sz w:val="22"/>
          <w:shd w:fill="auto" w:val="clear"/>
        </w:rPr>
        <w:br/>
        <w:t xml:space="preserve">Discrimination is abuse which centres on a difference or perceived difference particularly with respect to race, gender or disability or any of the protected characteristics of the Equality Act.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Organisational </w:t>
      </w:r>
      <w:r>
        <w:rPr>
          <w:rFonts w:ascii="Verdana" w:hAnsi="Verdana" w:cs="Verdana" w:eastAsia="Verdana"/>
          <w:color w:val="auto"/>
          <w:spacing w:val="0"/>
          <w:position w:val="0"/>
          <w:sz w:val="22"/>
          <w:shd w:fill="auto" w:val="clear"/>
        </w:rPr>
        <w:br/>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Physical </w:t>
        <w:br/>
      </w:r>
      <w:r>
        <w:rPr>
          <w:rFonts w:ascii="Verdana" w:hAnsi="Verdana" w:cs="Verdana" w:eastAsia="Verdana"/>
          <w:color w:val="auto"/>
          <w:spacing w:val="0"/>
          <w:position w:val="0"/>
          <w:sz w:val="22"/>
          <w:shd w:fill="auto" w:val="clear"/>
        </w:rPr>
        <w:t xml:space="preserve">This includes hitting, slapping, pushing, kicking, misuse of medication, restraint or inappropriate sanctions.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Sexual </w:t>
      </w:r>
      <w:r>
        <w:rPr>
          <w:rFonts w:ascii="Verdana" w:hAnsi="Verdana" w:cs="Verdana" w:eastAsia="Verdana"/>
          <w:color w:val="auto"/>
          <w:spacing w:val="0"/>
          <w:position w:val="0"/>
          <w:sz w:val="22"/>
          <w:shd w:fill="auto" w:val="clear"/>
        </w:rPr>
        <w:br/>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br/>
        <w:br/>
      </w:r>
      <w:r>
        <w:rPr>
          <w:rFonts w:ascii="Verdana" w:hAnsi="Verdana" w:cs="Verdana" w:eastAsia="Verdana"/>
          <w:b/>
          <w:color w:val="auto"/>
          <w:spacing w:val="0"/>
          <w:position w:val="0"/>
          <w:sz w:val="22"/>
          <w:shd w:fill="auto" w:val="clear"/>
        </w:rPr>
        <w:t xml:space="preserve">Financial or material </w:t>
      </w:r>
      <w:r>
        <w:rPr>
          <w:rFonts w:ascii="Verdana" w:hAnsi="Verdana" w:cs="Verdana" w:eastAsia="Verdana"/>
          <w:color w:val="auto"/>
          <w:spacing w:val="0"/>
          <w:position w:val="0"/>
          <w:sz w:val="22"/>
          <w:shd w:fill="auto" w:val="clear"/>
        </w:rPr>
        <w:br/>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Neglect/Acts of omission </w:t>
        <w:br/>
      </w:r>
      <w:r>
        <w:rPr>
          <w:rFonts w:ascii="Verdana" w:hAnsi="Verdana" w:cs="Verdana" w:eastAsia="Verdana"/>
          <w:color w:val="auto"/>
          <w:spacing w:val="0"/>
          <w:position w:val="0"/>
          <w:sz w:val="22"/>
          <w:shd w:fill="auto" w:val="clear"/>
        </w:rPr>
        <w:t xml:space="preserve">This includes ignoring medical or physical care needs, failing to provide access to appropriate health social care or educational services, the withholding of the necessities of life, such as medication, adequate nutrition and heating.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Emotional or psychological </w:t>
      </w:r>
      <w:r>
        <w:rPr>
          <w:rFonts w:ascii="Verdana" w:hAnsi="Verdana" w:cs="Verdana" w:eastAsia="Verdana"/>
          <w:color w:val="auto"/>
          <w:spacing w:val="0"/>
          <w:position w:val="0"/>
          <w:sz w:val="22"/>
          <w:shd w:fill="auto" w:val="clear"/>
        </w:rPr>
        <w:br/>
        <w:t xml:space="preserve">This includes threats of harm or abandonment, deprivation of contact, humiliation, blaming, controlling, intimidation, coercion, harassment, verbal abuse, isolation or withdrawal from services or supportive</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Not included in the Care Act 2014 but also relevant to safeguarding adults in sport and physical activity: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Cyber Bullying </w:t>
      </w:r>
      <w:r>
        <w:rPr>
          <w:rFonts w:ascii="Verdana" w:hAnsi="Verdana" w:cs="Verdana" w:eastAsia="Verdana"/>
          <w:color w:val="auto"/>
          <w:spacing w:val="0"/>
          <w:position w:val="0"/>
          <w:sz w:val="22"/>
          <w:shd w:fill="auto" w:val="clear"/>
        </w:rPr>
        <w:br/>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Forced marriage </w:t>
      </w:r>
      <w:r>
        <w:rPr>
          <w:rFonts w:ascii="Verdana" w:hAnsi="Verdana" w:cs="Verdana" w:eastAsia="Verdana"/>
          <w:color w:val="auto"/>
          <w:spacing w:val="0"/>
          <w:position w:val="0"/>
          <w:sz w:val="22"/>
          <w:shd w:fill="auto" w:val="clear"/>
        </w:rPr>
        <w:br/>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Mate Crime</w:t>
        <w:br/>
      </w:r>
      <w:r>
        <w:rPr>
          <w:rFonts w:ascii="Verdana" w:hAnsi="Verdana" w:cs="Verdana" w:eastAsia="Verdana"/>
          <w:color w:val="auto"/>
          <w:spacing w:val="0"/>
          <w:position w:val="0"/>
          <w:sz w:val="22"/>
          <w:shd w:fill="auto" w:val="clear"/>
        </w:rPr>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Radicalisation </w:t>
        <w:br/>
      </w:r>
      <w:r>
        <w:rPr>
          <w:rFonts w:ascii="Verdana" w:hAnsi="Verdana" w:cs="Verdana" w:eastAsia="Verdana"/>
          <w:color w:val="auto"/>
          <w:spacing w:val="0"/>
          <w:position w:val="0"/>
          <w:sz w:val="22"/>
          <w:shd w:fill="auto" w:val="clear"/>
        </w:rPr>
        <w:t xml:space="preserve">The aim of radicalisation is to attract people to their reasoning, inspire new recruits and embed their extreme views and persuade vulnerable individuals of the legitimacy of their cause. This may be direct through a relationship, or through social media.</w:t>
      </w: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Ineos GC</w:t>
      </w: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Consent and Information Sharing</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Workers and volunteers within sports and physical activity organisations should always share safeguarding concerns in line with their organisation’s policy, usually with their safeguarding lead or welfare officer in the first instance, except in emergency situations. As long as it does not increase the risk to the individual, the worker or volunteer should explain to them that it is their duty to share their concern with their safeguarding lead or welfare officer.</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make an adult safeguarding referral you need to call the local safeguarding adults team. This may be part of a MASH (Multi</w:t>
      </w:r>
      <w:r>
        <w:rPr>
          <w:rFonts w:ascii="Verdana" w:hAnsi="Verdana" w:cs="Verdana" w:eastAsia="Verdana"/>
          <w:i/>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someone does not want you to share information outside of the organisation or you do not have consent to share the information, ask yourself the following questions: </w:t>
      </w:r>
    </w:p>
    <w:p>
      <w:pPr>
        <w:numPr>
          <w:ilvl w:val="0"/>
          <w:numId w:val="192"/>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Is the adult placing themselves at further risk of harm? </w:t>
      </w:r>
    </w:p>
    <w:p>
      <w:pPr>
        <w:numPr>
          <w:ilvl w:val="0"/>
          <w:numId w:val="192"/>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Is someone else likely to get hurt? </w:t>
      </w:r>
    </w:p>
    <w:p>
      <w:pPr>
        <w:numPr>
          <w:ilvl w:val="0"/>
          <w:numId w:val="192"/>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Has a criminal offence occurred? This includes: theft or burglary of items, physical abuse, sexual abuse, forced to give extra money for lessons (financial abuse) or harassment. </w:t>
      </w:r>
    </w:p>
    <w:p>
      <w:pPr>
        <w:numPr>
          <w:ilvl w:val="0"/>
          <w:numId w:val="192"/>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Is there suspicion that a crime has occurred?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the answer to any of the questions above is ‘yes’ - then you can share without consent and need to share the information.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When sharing information there are seven Golden Rules that should always be followed. </w:t>
      </w:r>
    </w:p>
    <w:p>
      <w:pPr>
        <w:numPr>
          <w:ilvl w:val="0"/>
          <w:numId w:val="194"/>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Seek advice if in any doubt </w:t>
      </w:r>
    </w:p>
    <w:p>
      <w:pPr>
        <w:numPr>
          <w:ilvl w:val="0"/>
          <w:numId w:val="194"/>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transparent - The Data Protection Act (DPA) is not a barrier to sharing information but to ensure that personal information is shared appropriately; except in circumstances where by doing so places the person at significant risk of harm. </w:t>
      </w:r>
    </w:p>
    <w:p>
      <w:pPr>
        <w:numPr>
          <w:ilvl w:val="0"/>
          <w:numId w:val="194"/>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Consider the public interest - Base all decisions to share information on the safety and well-being of that person or others that may be affected by their actions. </w:t>
      </w:r>
    </w:p>
    <w:p>
      <w:pPr>
        <w:numPr>
          <w:ilvl w:val="0"/>
          <w:numId w:val="194"/>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Share with consent where appropriate - Where possible, respond to the wishes of those who do not consent to share confidential information. You may still share information without consent, if this is in the public interest. </w:t>
      </w:r>
    </w:p>
    <w:p>
      <w:pPr>
        <w:numPr>
          <w:ilvl w:val="0"/>
          <w:numId w:val="194"/>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Keep a record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Record your decision and reasons to share or not share information. </w:t>
      </w:r>
    </w:p>
    <w:p>
      <w:pPr>
        <w:numPr>
          <w:ilvl w:val="0"/>
          <w:numId w:val="194"/>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Accurate, necessary, proportionate, relevant and secure - Ensure all information shared is accurate, up-to-date; necessary and share with only those who need to have it. </w:t>
      </w:r>
    </w:p>
    <w:p>
      <w:pPr>
        <w:numPr>
          <w:ilvl w:val="0"/>
          <w:numId w:val="194"/>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Remember the purpose of the Data Protection Act (DPA) is to ensure personal information is shared appropriately, except in circumstances where by doing so may place the person or others at significant harm.</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Please contact Ineos G C Welfare Officers below,</w:t>
      </w: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Welfare Officers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FFFF00" w:val="clear"/>
        </w:rPr>
        <w:t xml:space="preserve">The Welfare Officer(s) for Ineos G C are: Patrick Montgomery</w:t>
      </w:r>
    </w:p>
    <w:p>
      <w:pPr>
        <w:numPr>
          <w:ilvl w:val="0"/>
          <w:numId w:val="198"/>
        </w:numPr>
        <w:spacing w:before="0" w:after="200" w:line="276"/>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may wish to contact England Golf Lead Safeguarding officer, on  01526 351824 or </w:t>
      </w:r>
      <w:hyperlink xmlns:r="http://schemas.openxmlformats.org/officeDocument/2006/relationships" r:id="docRId1">
        <w:r>
          <w:rPr>
            <w:rFonts w:ascii="Verdana" w:hAnsi="Verdana" w:cs="Verdana" w:eastAsia="Verdana"/>
            <w:color w:val="E30137"/>
            <w:spacing w:val="0"/>
            <w:position w:val="0"/>
            <w:sz w:val="22"/>
            <w:u w:val="single"/>
            <w:shd w:fill="auto" w:val="clear"/>
          </w:rPr>
          <w:t xml:space="preserve">safeguarding@englandgolf.org</w:t>
        </w:r>
      </w:hyperlink>
      <w:r>
        <w:rPr>
          <w:rFonts w:ascii="Verdana" w:hAnsi="Verdana" w:cs="Verdana" w:eastAsia="Verdana"/>
          <w:color w:val="E30137"/>
          <w:spacing w:val="0"/>
          <w:position w:val="0"/>
          <w:sz w:val="22"/>
          <w:shd w:fill="auto" w:val="clear"/>
        </w:rPr>
        <w:t xml:space="preserve">.</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the England Golf Lead Safeguarding Officer is not available and a delay cannot be justified then seek advice from the local County Council Safeguarding Adults Team or County Council Social Care-Emergency Duty Team.</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num w:numId="9">
    <w:abstractNumId w:val="144"/>
  </w:num>
  <w:num w:numId="12">
    <w:abstractNumId w:val="138"/>
  </w:num>
  <w:num w:numId="15">
    <w:abstractNumId w:val="132"/>
  </w:num>
  <w:num w:numId="18">
    <w:abstractNumId w:val="126"/>
  </w:num>
  <w:num w:numId="21">
    <w:abstractNumId w:val="120"/>
  </w:num>
  <w:num w:numId="51">
    <w:abstractNumId w:val="114"/>
  </w:num>
  <w:num w:numId="55">
    <w:abstractNumId w:val="108"/>
  </w:num>
  <w:num w:numId="57">
    <w:abstractNumId w:val="102"/>
  </w:num>
  <w:num w:numId="61">
    <w:abstractNumId w:val="96"/>
  </w:num>
  <w:num w:numId="65">
    <w:abstractNumId w:val="90"/>
  </w:num>
  <w:num w:numId="67">
    <w:abstractNumId w:val="84"/>
  </w:num>
  <w:num w:numId="70">
    <w:abstractNumId w:val="78"/>
  </w:num>
  <w:num w:numId="72">
    <w:abstractNumId w:val="72"/>
  </w:num>
  <w:num w:numId="74">
    <w:abstractNumId w:val="66"/>
  </w:num>
  <w:num w:numId="77">
    <w:abstractNumId w:val="60"/>
  </w:num>
  <w:num w:numId="81">
    <w:abstractNumId w:val="54"/>
  </w:num>
  <w:num w:numId="85">
    <w:abstractNumId w:val="48"/>
  </w:num>
  <w:num w:numId="92">
    <w:abstractNumId w:val="42"/>
  </w:num>
  <w:num w:numId="124">
    <w:abstractNumId w:val="36"/>
  </w:num>
  <w:num w:numId="126">
    <w:abstractNumId w:val="30"/>
  </w:num>
  <w:num w:numId="128">
    <w:abstractNumId w:val="24"/>
  </w:num>
  <w:num w:numId="131">
    <w:abstractNumId w:val="18"/>
  </w:num>
  <w:num w:numId="192">
    <w:abstractNumId w:val="12"/>
  </w:num>
  <w:num w:numId="194">
    <w:abstractNumId w:val="6"/>
  </w:num>
  <w:num w:numId="19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nncrafttrust.org/" Id="docRId0" Type="http://schemas.openxmlformats.org/officeDocument/2006/relationships/hyperlink" /><Relationship TargetMode="External" Target="mailto:safeguarding@englandgolf.org"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